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7D08893A"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25A5E">
        <w:rPr>
          <w:rFonts w:ascii="Arial" w:hAnsi="Arial"/>
          <w:b/>
          <w:noProof/>
          <w:sz w:val="24"/>
          <w:szCs w:val="20"/>
          <w:lang w:val="en-GB"/>
        </w:rPr>
        <w:t>8</w:t>
      </w:r>
      <w:r w:rsidRPr="0032543F">
        <w:rPr>
          <w:rFonts w:ascii="Arial" w:hAnsi="Arial"/>
          <w:b/>
          <w:noProof/>
          <w:sz w:val="24"/>
          <w:szCs w:val="20"/>
          <w:lang w:val="en-GB"/>
        </w:rPr>
        <w:tab/>
      </w:r>
      <w:bookmarkStart w:id="2" w:name="OLE_LINK417"/>
      <w:bookmarkStart w:id="3" w:name="OLE_LINK418"/>
      <w:r w:rsidR="00153870">
        <w:rPr>
          <w:rFonts w:ascii="Arial" w:hAnsi="Arial"/>
          <w:b/>
          <w:noProof/>
          <w:sz w:val="24"/>
          <w:szCs w:val="20"/>
          <w:lang w:val="en-GB"/>
        </w:rPr>
        <w:t>R3-253617</w:t>
      </w:r>
    </w:p>
    <w:bookmarkEnd w:id="2"/>
    <w:bookmarkEnd w:id="3"/>
    <w:p w14:paraId="2707C80A" w14:textId="72CCDCB5" w:rsidR="0032543F" w:rsidRPr="0032543F" w:rsidRDefault="00325A5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Malta,</w:t>
      </w:r>
      <w:r w:rsidR="00C41567">
        <w:rPr>
          <w:rFonts w:ascii="Arial" w:eastAsia="MS Mincho" w:hAnsi="Arial"/>
          <w:b/>
          <w:noProof/>
          <w:sz w:val="24"/>
          <w:szCs w:val="20"/>
          <w:lang w:val="fr-CA" w:eastAsia="zh-CN"/>
        </w:rPr>
        <w:t xml:space="preserve"> MT,</w:t>
      </w:r>
      <w:r>
        <w:rPr>
          <w:rFonts w:ascii="Arial" w:eastAsia="MS Mincho" w:hAnsi="Arial"/>
          <w:b/>
          <w:noProof/>
          <w:sz w:val="24"/>
          <w:szCs w:val="20"/>
          <w:lang w:val="fr-CA" w:eastAsia="zh-CN"/>
        </w:rPr>
        <w:t xml:space="preserve"> 1</w:t>
      </w:r>
      <w:r w:rsidR="00C41567">
        <w:rPr>
          <w:rFonts w:ascii="Arial" w:eastAsia="MS Mincho" w:hAnsi="Arial"/>
          <w:b/>
          <w:noProof/>
          <w:sz w:val="24"/>
          <w:szCs w:val="20"/>
          <w:lang w:val="fr-CA" w:eastAsia="zh-CN"/>
        </w:rPr>
        <w:t xml:space="preserve">9 </w:t>
      </w:r>
      <w:r>
        <w:rPr>
          <w:rFonts w:ascii="Arial" w:eastAsia="MS Mincho" w:hAnsi="Arial"/>
          <w:b/>
          <w:noProof/>
          <w:sz w:val="24"/>
          <w:szCs w:val="20"/>
          <w:lang w:val="fr-CA" w:eastAsia="zh-CN"/>
        </w:rPr>
        <w:t>-</w:t>
      </w:r>
      <w:r w:rsidR="00C41567">
        <w:rPr>
          <w:rFonts w:ascii="Arial" w:eastAsia="MS Mincho" w:hAnsi="Arial"/>
          <w:b/>
          <w:noProof/>
          <w:sz w:val="24"/>
          <w:szCs w:val="20"/>
          <w:lang w:val="fr-CA" w:eastAsia="zh-CN"/>
        </w:rPr>
        <w:t xml:space="preserve"> </w:t>
      </w:r>
      <w:bookmarkStart w:id="4" w:name="_GoBack"/>
      <w:bookmarkEnd w:id="4"/>
      <w:r>
        <w:rPr>
          <w:rFonts w:ascii="Arial" w:eastAsia="MS Mincho" w:hAnsi="Arial"/>
          <w:b/>
          <w:noProof/>
          <w:sz w:val="24"/>
          <w:szCs w:val="20"/>
          <w:lang w:val="fr-CA" w:eastAsia="zh-CN"/>
        </w:rPr>
        <w:t>23 May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52A73D54"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r w:rsidR="0069530F">
        <w:rPr>
          <w:rFonts w:ascii="Arial" w:hAnsi="Arial"/>
          <w:b/>
          <w:sz w:val="24"/>
          <w:szCs w:val="20"/>
          <w:lang w:val="en-GB" w:eastAsia="zh-CN"/>
        </w:rPr>
        <w:t>, CMCC</w:t>
      </w:r>
      <w:r w:rsidR="00A4799E">
        <w:rPr>
          <w:rFonts w:ascii="Arial" w:hAnsi="Arial"/>
          <w:b/>
          <w:sz w:val="24"/>
          <w:szCs w:val="20"/>
          <w:lang w:val="en-GB" w:eastAsia="zh-CN"/>
        </w:rPr>
        <w:t>, China Telecom</w:t>
      </w:r>
    </w:p>
    <w:p w14:paraId="4C3B887E" w14:textId="06056780"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4665A7">
        <w:rPr>
          <w:rFonts w:ascii="Arial" w:hAnsi="Arial"/>
          <w:b/>
          <w:sz w:val="24"/>
          <w:szCs w:val="20"/>
          <w:lang w:val="en-GB" w:eastAsia="zh-CN"/>
        </w:rPr>
        <w:t xml:space="preserve">(TP for XR BL CR for TS 38.300) </w:t>
      </w:r>
      <w:r w:rsidR="00734B80">
        <w:rPr>
          <w:rFonts w:ascii="Arial" w:hAnsi="Arial"/>
          <w:b/>
          <w:sz w:val="24"/>
          <w:szCs w:val="20"/>
          <w:lang w:val="en-GB" w:eastAsia="zh-CN"/>
        </w:rPr>
        <w:t>Support of</w:t>
      </w:r>
      <w:r w:rsidR="009F1B0A">
        <w:rPr>
          <w:rFonts w:ascii="Arial" w:hAnsi="Arial"/>
          <w:b/>
          <w:sz w:val="24"/>
          <w:szCs w:val="20"/>
          <w:lang w:val="en-GB" w:eastAsia="zh-CN"/>
        </w:rPr>
        <w:t xml:space="preserve"> UL rate control</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57F1B911" w14:textId="77777777" w:rsidR="000F32FE" w:rsidRDefault="002B1E85"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In RAN3 127bis meeting, </w:t>
      </w:r>
      <w:r w:rsidR="000F32FE">
        <w:rPr>
          <w:sz w:val="20"/>
          <w:szCs w:val="20"/>
          <w:lang w:val="en-GB" w:eastAsia="zh-CN"/>
        </w:rPr>
        <w:t xml:space="preserve">RAN3 has agreed the NGAP TP (R3-252489) and the </w:t>
      </w:r>
      <w:proofErr w:type="spellStart"/>
      <w:r w:rsidR="000F32FE">
        <w:rPr>
          <w:sz w:val="20"/>
          <w:szCs w:val="20"/>
          <w:lang w:val="en-GB" w:eastAsia="zh-CN"/>
        </w:rPr>
        <w:t>XnAP</w:t>
      </w:r>
      <w:proofErr w:type="spellEnd"/>
      <w:r w:rsidR="000F32FE">
        <w:rPr>
          <w:sz w:val="20"/>
          <w:szCs w:val="20"/>
          <w:lang w:val="en-GB" w:eastAsia="zh-CN"/>
        </w:rPr>
        <w:t xml:space="preserve"> TP (R3-252490) to capture the following agreements:</w:t>
      </w:r>
    </w:p>
    <w:p w14:paraId="6CD4626B" w14:textId="77777777" w:rsidR="001C09C1" w:rsidRPr="000F32FE" w:rsidRDefault="00AB5DEC" w:rsidP="000F32FE">
      <w:pPr>
        <w:numPr>
          <w:ilvl w:val="0"/>
          <w:numId w:val="19"/>
        </w:numPr>
        <w:overflowPunct w:val="0"/>
        <w:snapToGrid/>
        <w:spacing w:beforeLines="50" w:before="120" w:afterLines="50"/>
        <w:textAlignment w:val="baseline"/>
        <w:rPr>
          <w:color w:val="00B050"/>
          <w:sz w:val="20"/>
          <w:szCs w:val="20"/>
          <w:lang w:val="en-GB" w:eastAsia="zh-CN"/>
        </w:rPr>
      </w:pPr>
      <w:r w:rsidRPr="000F32FE">
        <w:rPr>
          <w:color w:val="00B050"/>
          <w:sz w:val="20"/>
          <w:szCs w:val="20"/>
          <w:lang w:val="en-GB" w:eastAsia="zh-CN"/>
        </w:rPr>
        <w:t xml:space="preserve">Introduce an indication in NGAP, to allow the SMF to inform the </w:t>
      </w:r>
      <w:proofErr w:type="spellStart"/>
      <w:r w:rsidRPr="000F32FE">
        <w:rPr>
          <w:color w:val="00B050"/>
          <w:sz w:val="20"/>
          <w:szCs w:val="20"/>
          <w:lang w:val="en-GB" w:eastAsia="zh-CN"/>
        </w:rPr>
        <w:t>gNB</w:t>
      </w:r>
      <w:proofErr w:type="spellEnd"/>
      <w:r w:rsidRPr="000F32FE">
        <w:rPr>
          <w:color w:val="00B050"/>
          <w:sz w:val="20"/>
          <w:szCs w:val="20"/>
          <w:lang w:val="en-GB" w:eastAsia="zh-CN"/>
        </w:rPr>
        <w:t xml:space="preserve"> which QoS flow(s) are subject to uplink rate control. </w:t>
      </w:r>
    </w:p>
    <w:p w14:paraId="2AD08661" w14:textId="77777777" w:rsidR="001C09C1" w:rsidRPr="000F32FE" w:rsidRDefault="00AB5DEC" w:rsidP="000F32FE">
      <w:pPr>
        <w:numPr>
          <w:ilvl w:val="0"/>
          <w:numId w:val="19"/>
        </w:numPr>
        <w:overflowPunct w:val="0"/>
        <w:snapToGrid/>
        <w:spacing w:beforeLines="50" w:before="120" w:afterLines="50"/>
        <w:textAlignment w:val="baseline"/>
        <w:rPr>
          <w:sz w:val="20"/>
          <w:szCs w:val="20"/>
          <w:lang w:val="en-GB" w:eastAsia="zh-CN"/>
        </w:rPr>
      </w:pPr>
      <w:r w:rsidRPr="000F32FE">
        <w:rPr>
          <w:color w:val="00B050"/>
          <w:sz w:val="20"/>
          <w:szCs w:val="20"/>
          <w:lang w:val="en-GB" w:eastAsia="zh-CN"/>
        </w:rPr>
        <w:t xml:space="preserve">Introduce the same indication in </w:t>
      </w:r>
      <w:proofErr w:type="spellStart"/>
      <w:r w:rsidRPr="000F32FE">
        <w:rPr>
          <w:color w:val="00B050"/>
          <w:sz w:val="20"/>
          <w:szCs w:val="20"/>
          <w:lang w:val="en-GB" w:eastAsia="zh-CN"/>
        </w:rPr>
        <w:t>XnAP</w:t>
      </w:r>
      <w:proofErr w:type="spellEnd"/>
      <w:r w:rsidRPr="000F32FE">
        <w:rPr>
          <w:color w:val="00B050"/>
          <w:sz w:val="20"/>
          <w:szCs w:val="20"/>
          <w:lang w:val="en-GB" w:eastAsia="zh-CN"/>
        </w:rPr>
        <w:t xml:space="preserve"> to inform target </w:t>
      </w:r>
      <w:proofErr w:type="spellStart"/>
      <w:r w:rsidRPr="000F32FE">
        <w:rPr>
          <w:color w:val="00B050"/>
          <w:sz w:val="20"/>
          <w:szCs w:val="20"/>
          <w:lang w:val="en-GB" w:eastAsia="zh-CN"/>
        </w:rPr>
        <w:t>gNB</w:t>
      </w:r>
      <w:proofErr w:type="spellEnd"/>
      <w:r w:rsidRPr="000F32FE">
        <w:rPr>
          <w:sz w:val="20"/>
          <w:szCs w:val="20"/>
          <w:lang w:val="en-GB" w:eastAsia="zh-CN"/>
        </w:rPr>
        <w:t xml:space="preserve">. </w:t>
      </w:r>
    </w:p>
    <w:p w14:paraId="7939E95F" w14:textId="7AD3E3F4" w:rsidR="009866E7" w:rsidRDefault="000F32FE" w:rsidP="00C05F04">
      <w:pPr>
        <w:overflowPunct w:val="0"/>
        <w:snapToGrid/>
        <w:spacing w:beforeLines="50" w:before="120" w:afterLines="50"/>
        <w:textAlignment w:val="baseline"/>
        <w:rPr>
          <w:sz w:val="20"/>
          <w:szCs w:val="20"/>
          <w:lang w:val="en-GB" w:eastAsia="zh-CN"/>
        </w:rPr>
      </w:pPr>
      <w:r>
        <w:rPr>
          <w:sz w:val="20"/>
          <w:szCs w:val="20"/>
          <w:lang w:val="en-GB" w:eastAsia="zh-CN"/>
        </w:rPr>
        <w:t>But the stage 2 description is missing</w:t>
      </w:r>
      <w:r w:rsidR="005032B9">
        <w:rPr>
          <w:sz w:val="20"/>
          <w:szCs w:val="20"/>
          <w:lang w:val="en-GB" w:eastAsia="zh-CN"/>
        </w:rPr>
        <w:t>.</w:t>
      </w:r>
      <w:r>
        <w:rPr>
          <w:sz w:val="20"/>
          <w:szCs w:val="20"/>
          <w:lang w:val="en-GB" w:eastAsia="zh-CN"/>
        </w:rPr>
        <w:t xml:space="preserve"> This paper provides the stage 2 TP for 38.300, to capture the above agreements. </w:t>
      </w:r>
    </w:p>
    <w:p w14:paraId="4D02B00A" w14:textId="10525FF3" w:rsidR="000F44D5" w:rsidRPr="0032543F" w:rsidRDefault="000F44D5" w:rsidP="000F44D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bookmarkStart w:id="5" w:name="_CR9_2_2_1"/>
      <w:bookmarkStart w:id="6" w:name="_CR8_3_1_1"/>
      <w:bookmarkStart w:id="7" w:name="_CR8_3_1_2"/>
      <w:bookmarkStart w:id="8" w:name="_CR8_3_4_1"/>
      <w:bookmarkStart w:id="9" w:name="_CR8_3_4_2"/>
      <w:bookmarkEnd w:id="1"/>
      <w:bookmarkEnd w:id="5"/>
      <w:bookmarkEnd w:id="6"/>
      <w:bookmarkEnd w:id="7"/>
      <w:bookmarkEnd w:id="8"/>
      <w:bookmarkEnd w:id="9"/>
      <w:r>
        <w:rPr>
          <w:rFonts w:ascii="Arial" w:hAnsi="Arial"/>
          <w:sz w:val="36"/>
          <w:szCs w:val="20"/>
          <w:lang w:val="en-GB" w:eastAsia="zh-CN"/>
        </w:rPr>
        <w:t>Annex. TP for BL CR for TS 38.300</w:t>
      </w:r>
    </w:p>
    <w:p w14:paraId="4B956F2F" w14:textId="129AECEF"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START</w:t>
      </w:r>
    </w:p>
    <w:p w14:paraId="56DB05E6" w14:textId="4ED3D666" w:rsidR="000F44D5" w:rsidRDefault="000F44D5" w:rsidP="00A724F0">
      <w:pPr>
        <w:pStyle w:val="Doc-text2"/>
        <w:ind w:left="0" w:firstLine="0"/>
        <w:rPr>
          <w:snapToGrid w:val="0"/>
          <w:lang w:val="en-US"/>
        </w:rPr>
      </w:pPr>
    </w:p>
    <w:p w14:paraId="2122DD97" w14:textId="77777777" w:rsidR="00A724F0" w:rsidRPr="00A724F0" w:rsidRDefault="00A724F0" w:rsidP="00A724F0">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10" w:name="_Toc193404346"/>
      <w:r w:rsidRPr="00A724F0">
        <w:rPr>
          <w:rFonts w:ascii="Arial" w:eastAsia="Times New Roman" w:hAnsi="Arial"/>
          <w:sz w:val="24"/>
          <w:szCs w:val="20"/>
          <w:lang w:val="en-GB" w:eastAsia="zh-CN"/>
        </w:rPr>
        <w:t>16.15.4.2</w:t>
      </w:r>
      <w:r w:rsidRPr="00A724F0">
        <w:rPr>
          <w:rFonts w:ascii="Arial" w:eastAsia="Times New Roman" w:hAnsi="Arial"/>
          <w:sz w:val="24"/>
          <w:szCs w:val="20"/>
          <w:lang w:val="en-GB" w:eastAsia="zh-CN"/>
        </w:rPr>
        <w:tab/>
        <w:t>Layer 2 Enhancements</w:t>
      </w:r>
      <w:bookmarkEnd w:id="10"/>
    </w:p>
    <w:p w14:paraId="519BAE44" w14:textId="77777777" w:rsidR="00A724F0" w:rsidRPr="00A724F0" w:rsidRDefault="00A724F0" w:rsidP="00A724F0">
      <w:pPr>
        <w:keepNext/>
        <w:keepLines/>
        <w:overflowPunct w:val="0"/>
        <w:snapToGrid/>
        <w:spacing w:before="120" w:after="180"/>
        <w:jc w:val="left"/>
        <w:textAlignment w:val="baseline"/>
        <w:outlineLvl w:val="4"/>
        <w:rPr>
          <w:rFonts w:ascii="Arial" w:eastAsia="Times New Roman" w:hAnsi="Arial"/>
          <w:szCs w:val="20"/>
          <w:lang w:val="en-GB" w:eastAsia="zh-CN"/>
        </w:rPr>
      </w:pPr>
      <w:bookmarkStart w:id="11" w:name="_Toc193404347"/>
      <w:r w:rsidRPr="00A724F0">
        <w:rPr>
          <w:rFonts w:ascii="Arial" w:eastAsia="Times New Roman" w:hAnsi="Arial"/>
          <w:szCs w:val="20"/>
          <w:lang w:val="en-GB" w:eastAsia="zh-CN"/>
        </w:rPr>
        <w:t>16.15.4.2.1</w:t>
      </w:r>
      <w:r w:rsidRPr="00A724F0">
        <w:rPr>
          <w:rFonts w:ascii="Arial" w:eastAsia="Times New Roman" w:hAnsi="Arial"/>
          <w:szCs w:val="20"/>
          <w:lang w:val="en-GB" w:eastAsia="zh-CN"/>
        </w:rPr>
        <w:tab/>
        <w:t>Assistance Information</w:t>
      </w:r>
      <w:bookmarkEnd w:id="11"/>
    </w:p>
    <w:p w14:paraId="5C793A52"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In order to enhance the scheduling of uplink resources for XR, the following improvements are introduced:</w:t>
      </w:r>
    </w:p>
    <w:p w14:paraId="31BF50E7" w14:textId="77777777" w:rsidR="00A724F0" w:rsidRPr="00A724F0" w:rsidRDefault="00A724F0" w:rsidP="00A724F0">
      <w:pPr>
        <w:overflowPunct w:val="0"/>
        <w:snapToGrid/>
        <w:spacing w:after="180"/>
        <w:ind w:left="568"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 xml:space="preserve">One additional buffer size table to reduce the quantisation errors in BSR </w:t>
      </w:r>
      <w:r w:rsidRPr="00A724F0">
        <w:rPr>
          <w:rFonts w:eastAsia="等线"/>
          <w:sz w:val="20"/>
          <w:szCs w:val="20"/>
          <w:lang w:val="en-GB" w:eastAsia="zh-CN"/>
        </w:rPr>
        <w:t>and</w:t>
      </w:r>
      <w:r w:rsidRPr="00A724F0">
        <w:rPr>
          <w:rFonts w:eastAsia="Times New Roman"/>
          <w:sz w:val="20"/>
          <w:szCs w:val="20"/>
          <w:lang w:val="en-GB" w:eastAsia="zh-CN"/>
        </w:rPr>
        <w:t xml:space="preserve"> </w:t>
      </w:r>
      <w:r w:rsidRPr="00A724F0">
        <w:rPr>
          <w:rFonts w:eastAsia="等线"/>
          <w:sz w:val="20"/>
          <w:szCs w:val="20"/>
          <w:lang w:val="en-GB" w:eastAsia="zh-CN"/>
        </w:rPr>
        <w:t>DSR</w:t>
      </w:r>
      <w:r w:rsidRPr="00A724F0">
        <w:rPr>
          <w:rFonts w:eastAsia="Times New Roman"/>
          <w:sz w:val="20"/>
          <w:szCs w:val="20"/>
          <w:lang w:val="en-GB" w:eastAsia="zh-CN"/>
        </w:rPr>
        <w:t xml:space="preserve"> </w:t>
      </w:r>
      <w:r w:rsidRPr="00A724F0">
        <w:rPr>
          <w:rFonts w:eastAsiaTheme="minorEastAsia"/>
          <w:sz w:val="20"/>
          <w:szCs w:val="20"/>
          <w:lang w:val="en-GB" w:eastAsia="zh-CN"/>
        </w:rPr>
        <w:t>(</w:t>
      </w:r>
      <w:r w:rsidRPr="00A724F0">
        <w:rPr>
          <w:rFonts w:eastAsia="等线"/>
          <w:sz w:val="20"/>
          <w:szCs w:val="20"/>
          <w:lang w:val="en-GB" w:eastAsia="zh-CN"/>
        </w:rPr>
        <w:t>defined</w:t>
      </w:r>
      <w:r w:rsidRPr="00A724F0">
        <w:rPr>
          <w:rFonts w:eastAsia="MS Mincho"/>
          <w:sz w:val="20"/>
          <w:szCs w:val="20"/>
          <w:lang w:val="en-GB" w:eastAsia="zh-CN"/>
        </w:rPr>
        <w:t xml:space="preserve"> </w:t>
      </w:r>
      <w:r w:rsidRPr="00A724F0">
        <w:rPr>
          <w:rFonts w:eastAsia="等线"/>
          <w:sz w:val="20"/>
          <w:szCs w:val="20"/>
          <w:lang w:val="en-GB" w:eastAsia="zh-CN"/>
        </w:rPr>
        <w:t>below</w:t>
      </w:r>
      <w:r w:rsidRPr="00A724F0">
        <w:rPr>
          <w:rFonts w:eastAsiaTheme="minorEastAsia"/>
          <w:sz w:val="20"/>
          <w:szCs w:val="20"/>
          <w:lang w:val="en-GB" w:eastAsia="zh-CN"/>
        </w:rPr>
        <w:t xml:space="preserve">) </w:t>
      </w:r>
      <w:r w:rsidRPr="00A724F0">
        <w:rPr>
          <w:rFonts w:eastAsia="Times New Roman"/>
          <w:sz w:val="20"/>
          <w:szCs w:val="20"/>
          <w:lang w:val="en-GB" w:eastAsia="zh-CN"/>
        </w:rPr>
        <w:t>reporting (e.g. for high bit rates):</w:t>
      </w:r>
    </w:p>
    <w:p w14:paraId="138F8417" w14:textId="77777777" w:rsidR="00A724F0" w:rsidRPr="00A724F0" w:rsidRDefault="00A724F0" w:rsidP="00A724F0">
      <w:pPr>
        <w:overflowPunct w:val="0"/>
        <w:snapToGrid/>
        <w:spacing w:after="180"/>
        <w:ind w:left="851"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 xml:space="preserve">Whether, for an LCG, the new table can be used in addition to the regular one is configured by the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w:t>
      </w:r>
    </w:p>
    <w:p w14:paraId="03CB157D" w14:textId="77777777" w:rsidR="00A724F0" w:rsidRPr="00A724F0" w:rsidRDefault="00A724F0" w:rsidP="00A724F0">
      <w:pPr>
        <w:overflowPunct w:val="0"/>
        <w:snapToGrid/>
        <w:spacing w:after="180"/>
        <w:ind w:left="851"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When the new table is configured for an LCG, it is used whenever the amount of the buffered data of that LCG to be reported is within the range of the new table, otherwise the regular table is used.</w:t>
      </w:r>
    </w:p>
    <w:p w14:paraId="2104198E" w14:textId="77777777" w:rsidR="00A724F0" w:rsidRPr="00A724F0" w:rsidRDefault="00A724F0" w:rsidP="00A724F0">
      <w:pPr>
        <w:overflowPunct w:val="0"/>
        <w:snapToGrid/>
        <w:spacing w:after="180"/>
        <w:ind w:left="568"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Delay Status Report (DSR) of buffered data via a dedicated MAC CE:</w:t>
      </w:r>
    </w:p>
    <w:p w14:paraId="35551874" w14:textId="77777777" w:rsidR="00A724F0" w:rsidRPr="00A724F0" w:rsidRDefault="00A724F0" w:rsidP="00A724F0">
      <w:pPr>
        <w:overflowPunct w:val="0"/>
        <w:snapToGrid/>
        <w:spacing w:after="180"/>
        <w:ind w:left="851"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 xml:space="preserve">Triggered for an LCH when the remaining time before discard of any buffered PDCP SDU goes below a configured threshold (threshold configured per LCG by the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w:t>
      </w:r>
    </w:p>
    <w:p w14:paraId="1C97F901" w14:textId="77777777" w:rsidR="00A724F0" w:rsidRPr="00A724F0" w:rsidRDefault="00A724F0" w:rsidP="00A724F0">
      <w:pPr>
        <w:overflowPunct w:val="0"/>
        <w:snapToGrid/>
        <w:spacing w:after="180"/>
        <w:ind w:left="851"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When triggered for an LCH, reports the amount of data buffered with a remaining time before discard below the configured threshold, together with the shortest remaining time of any PDCP SDU buffered that has not been transmitted in any MAC PDU.</w:t>
      </w:r>
    </w:p>
    <w:p w14:paraId="0D384D32" w14:textId="77777777" w:rsidR="00A724F0" w:rsidRPr="00A724F0" w:rsidRDefault="00A724F0" w:rsidP="00A724F0">
      <w:pPr>
        <w:overflowPunct w:val="0"/>
        <w:snapToGrid/>
        <w:spacing w:after="180"/>
        <w:ind w:left="568" w:hanging="284"/>
        <w:jc w:val="left"/>
        <w:textAlignment w:val="baseline"/>
        <w:rPr>
          <w:rFonts w:eastAsia="Times New Roman"/>
          <w:sz w:val="20"/>
          <w:szCs w:val="20"/>
          <w:lang w:val="en-GB" w:eastAsia="zh-CN"/>
        </w:rPr>
      </w:pPr>
      <w:r w:rsidRPr="00A724F0">
        <w:rPr>
          <w:rFonts w:eastAsia="Times New Roman"/>
          <w:sz w:val="20"/>
          <w:szCs w:val="20"/>
          <w:lang w:val="en-GB" w:eastAsia="zh-CN"/>
        </w:rPr>
        <w:t>-</w:t>
      </w:r>
      <w:r w:rsidRPr="00A724F0">
        <w:rPr>
          <w:rFonts w:eastAsia="Times New Roman"/>
          <w:sz w:val="20"/>
          <w:szCs w:val="20"/>
          <w:lang w:val="en-GB" w:eastAsia="zh-CN"/>
        </w:rPr>
        <w:tab/>
        <w:t xml:space="preserve">Reporting of uplink assistance information (jitter range, burst arrival time, UL data burst periodicity, possibility for the UE to identify PDU sets and/or PSI) per QoS flow by the UE via UE Assistance Information. In case target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 xml:space="preserve"> receives the burst arrival time from source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 xml:space="preserve"> during the handover preparation procedure, the target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 xml:space="preserve"> may use it by considering the SFN offset of the source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w:t>
      </w:r>
    </w:p>
    <w:p w14:paraId="43F6229F" w14:textId="77777777" w:rsidR="00A724F0" w:rsidRPr="00A724F0" w:rsidRDefault="00A724F0" w:rsidP="00A724F0">
      <w:pPr>
        <w:overflowPunct w:val="0"/>
        <w:snapToGrid/>
        <w:spacing w:after="180"/>
        <w:ind w:left="568" w:hanging="284"/>
        <w:jc w:val="left"/>
        <w:textAlignment w:val="baseline"/>
        <w:rPr>
          <w:rFonts w:eastAsia="Times New Roman"/>
          <w:sz w:val="20"/>
          <w:szCs w:val="20"/>
          <w:lang w:val="en-GB" w:eastAsia="zh-CN"/>
        </w:rPr>
      </w:pPr>
    </w:p>
    <w:p w14:paraId="549B1516" w14:textId="77777777" w:rsidR="00A724F0" w:rsidRPr="00A724F0" w:rsidRDefault="00A724F0" w:rsidP="00A724F0">
      <w:pPr>
        <w:keepNext/>
        <w:keepLines/>
        <w:overflowPunct w:val="0"/>
        <w:snapToGrid/>
        <w:spacing w:before="120" w:after="180"/>
        <w:jc w:val="left"/>
        <w:textAlignment w:val="baseline"/>
        <w:outlineLvl w:val="4"/>
        <w:rPr>
          <w:rFonts w:ascii="Arial" w:eastAsia="Times New Roman" w:hAnsi="Arial"/>
          <w:szCs w:val="20"/>
          <w:lang w:val="en-GB" w:eastAsia="zh-CN"/>
        </w:rPr>
      </w:pPr>
      <w:bookmarkStart w:id="12" w:name="_Toc193404348"/>
      <w:r w:rsidRPr="00A724F0">
        <w:rPr>
          <w:rFonts w:ascii="Arial" w:eastAsia="Times New Roman" w:hAnsi="Arial"/>
          <w:szCs w:val="20"/>
          <w:lang w:val="en-GB" w:eastAsia="zh-CN"/>
        </w:rPr>
        <w:lastRenderedPageBreak/>
        <w:t>16.15.4.2.2</w:t>
      </w:r>
      <w:r w:rsidRPr="00A724F0">
        <w:rPr>
          <w:rFonts w:ascii="Arial" w:eastAsia="Times New Roman" w:hAnsi="Arial"/>
          <w:szCs w:val="20"/>
          <w:lang w:val="en-GB" w:eastAsia="zh-CN"/>
        </w:rPr>
        <w:tab/>
        <w:t>Discard</w:t>
      </w:r>
      <w:bookmarkEnd w:id="12"/>
    </w:p>
    <w:p w14:paraId="5C84D956"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6F92AB1B" w14:textId="77777777" w:rsidR="00A724F0" w:rsidRPr="00A724F0" w:rsidRDefault="00A724F0" w:rsidP="00A724F0">
      <w:pPr>
        <w:keepLines/>
        <w:overflowPunct w:val="0"/>
        <w:snapToGrid/>
        <w:spacing w:after="180"/>
        <w:ind w:left="1135" w:hanging="851"/>
        <w:jc w:val="left"/>
        <w:textAlignment w:val="baseline"/>
        <w:rPr>
          <w:rFonts w:eastAsia="Times New Roman"/>
          <w:sz w:val="20"/>
          <w:szCs w:val="20"/>
          <w:lang w:val="en-GB" w:eastAsia="zh-CN"/>
        </w:rPr>
      </w:pPr>
      <w:r w:rsidRPr="00A724F0">
        <w:rPr>
          <w:rFonts w:eastAsia="Times New Roman"/>
          <w:sz w:val="20"/>
          <w:szCs w:val="20"/>
          <w:lang w:val="en-GB" w:eastAsia="zh-CN"/>
        </w:rPr>
        <w:t>NOTE 1:</w:t>
      </w:r>
      <w:r w:rsidRPr="00A724F0">
        <w:rPr>
          <w:rFonts w:eastAsia="Times New Roman"/>
          <w:sz w:val="20"/>
          <w:szCs w:val="20"/>
          <w:lang w:val="en-GB" w:eastAsia="zh-CN"/>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8BB161B"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In uplink, the UE may be configured with PDU Set based discard operation for a specific DRB. When configured, the UE discards all packets in a PDU set when one PDU belonging to this PDU set is discarded due to discard timer expiry.</w:t>
      </w:r>
    </w:p>
    <w:p w14:paraId="6C4BE7D7"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 xml:space="preserve">The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 xml:space="preserve"> may perform downlink PDU Set discarding based on implementation by taking at least PSDB, PSI, PSIHI parameters into account.</w:t>
      </w:r>
    </w:p>
    <w:p w14:paraId="370A21BC"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 xml:space="preserve">In case of congestion, for downlink, the </w:t>
      </w:r>
      <w:proofErr w:type="spellStart"/>
      <w:r w:rsidRPr="00A724F0">
        <w:rPr>
          <w:rFonts w:eastAsia="Times New Roman"/>
          <w:sz w:val="20"/>
          <w:szCs w:val="20"/>
          <w:lang w:val="en-GB" w:eastAsia="zh-CN"/>
        </w:rPr>
        <w:t>gNB</w:t>
      </w:r>
      <w:proofErr w:type="spellEnd"/>
      <w:r w:rsidRPr="00A724F0">
        <w:rPr>
          <w:rFonts w:eastAsia="Times New Roman"/>
          <w:sz w:val="20"/>
          <w:szCs w:val="20"/>
          <w:lang w:val="en-GB" w:eastAsia="zh-CN"/>
        </w:rPr>
        <w:t xml:space="preserve"> may perform PDCP SDU discarding based on PSI. For uplink, dedicated downlink signalling is used to request the UE to apply a shorter discard timer to PDCP SDUs belonging to</w:t>
      </w:r>
      <w:r w:rsidRPr="00A724F0">
        <w:rPr>
          <w:rFonts w:eastAsia="Times New Roman"/>
          <w:i/>
          <w:iCs/>
          <w:sz w:val="20"/>
          <w:szCs w:val="20"/>
          <w:lang w:val="en-GB" w:eastAsia="zh-CN"/>
        </w:rPr>
        <w:t xml:space="preserve"> low importance</w:t>
      </w:r>
      <w:r w:rsidRPr="00A724F0">
        <w:rPr>
          <w:rFonts w:eastAsia="Times New Roman"/>
          <w:sz w:val="20"/>
          <w:szCs w:val="20"/>
          <w:lang w:val="en-GB" w:eastAsia="zh-CN"/>
        </w:rPr>
        <w:t xml:space="preserve"> PDU Sets in PDCP.</w:t>
      </w:r>
    </w:p>
    <w:p w14:paraId="1ABD023D" w14:textId="77777777" w:rsidR="00A724F0" w:rsidRPr="00A724F0" w:rsidRDefault="00A724F0" w:rsidP="00A724F0">
      <w:pPr>
        <w:keepLines/>
        <w:overflowPunct w:val="0"/>
        <w:snapToGrid/>
        <w:spacing w:after="180"/>
        <w:ind w:left="1135" w:hanging="851"/>
        <w:jc w:val="left"/>
        <w:textAlignment w:val="baseline"/>
        <w:rPr>
          <w:rFonts w:eastAsia="Times New Roman"/>
          <w:sz w:val="20"/>
          <w:szCs w:val="20"/>
          <w:lang w:val="en-GB" w:eastAsia="zh-CN"/>
        </w:rPr>
      </w:pPr>
      <w:r w:rsidRPr="00A724F0">
        <w:rPr>
          <w:rFonts w:eastAsia="Times New Roman"/>
          <w:sz w:val="20"/>
          <w:szCs w:val="20"/>
          <w:lang w:val="en-GB" w:eastAsia="zh-CN"/>
        </w:rPr>
        <w:t>NOTE 2:</w:t>
      </w:r>
      <w:r w:rsidRPr="00A724F0">
        <w:rPr>
          <w:rFonts w:eastAsia="Times New Roman"/>
          <w:sz w:val="20"/>
          <w:szCs w:val="20"/>
          <w:lang w:val="en-GB" w:eastAsia="zh-CN"/>
        </w:rPr>
        <w:tab/>
        <w:t xml:space="preserve">How PDU Sets are identified as </w:t>
      </w:r>
      <w:r w:rsidRPr="00A724F0">
        <w:rPr>
          <w:rFonts w:eastAsia="Times New Roman"/>
          <w:i/>
          <w:iCs/>
          <w:sz w:val="20"/>
          <w:szCs w:val="20"/>
          <w:lang w:val="en-GB" w:eastAsia="zh-CN"/>
        </w:rPr>
        <w:t>low importance</w:t>
      </w:r>
      <w:r w:rsidRPr="00A724F0">
        <w:rPr>
          <w:rFonts w:eastAsia="Times New Roman"/>
          <w:sz w:val="20"/>
          <w:szCs w:val="20"/>
          <w:lang w:val="en-GB" w:eastAsia="zh-CN"/>
        </w:rPr>
        <w:t xml:space="preserve"> is left up to UE implementation. When a PSI is available, it can be used according to the guidelines specified in TS 26.522 [58].</w:t>
      </w:r>
    </w:p>
    <w:p w14:paraId="600BA8F0" w14:textId="77777777" w:rsidR="00A724F0" w:rsidRPr="00A724F0" w:rsidRDefault="00A724F0" w:rsidP="00A724F0">
      <w:pPr>
        <w:overflowPunct w:val="0"/>
        <w:snapToGrid/>
        <w:spacing w:after="180"/>
        <w:jc w:val="left"/>
        <w:textAlignment w:val="baseline"/>
        <w:rPr>
          <w:rFonts w:eastAsia="Times New Roman"/>
          <w:sz w:val="20"/>
          <w:szCs w:val="20"/>
          <w:lang w:val="en-GB" w:eastAsia="zh-CN"/>
        </w:rPr>
      </w:pPr>
      <w:r w:rsidRPr="00A724F0">
        <w:rPr>
          <w:rFonts w:eastAsia="Times New Roman"/>
          <w:sz w:val="20"/>
          <w:szCs w:val="20"/>
          <w:lang w:val="en-GB" w:eastAsia="zh-CN"/>
        </w:rPr>
        <w:t>The transmitting PDCP entity can inform the receiving one of gaps in the sequence of transmitted PDCP SN, resulting from PDCP SDU discard, via a PDCP control PDU.</w:t>
      </w:r>
    </w:p>
    <w:p w14:paraId="4636F377" w14:textId="37F38284" w:rsidR="00D76294" w:rsidRDefault="00D76294" w:rsidP="00D76294">
      <w:pPr>
        <w:keepNext/>
        <w:keepLines/>
        <w:overflowPunct w:val="0"/>
        <w:snapToGrid/>
        <w:spacing w:before="120" w:after="180"/>
        <w:jc w:val="left"/>
        <w:textAlignment w:val="baseline"/>
        <w:outlineLvl w:val="4"/>
        <w:rPr>
          <w:ins w:id="13" w:author="Huawei" w:date="2025-05-07T15:22:00Z"/>
          <w:rFonts w:ascii="Arial" w:eastAsia="Times New Roman" w:hAnsi="Arial"/>
          <w:szCs w:val="20"/>
          <w:lang w:val="en-GB" w:eastAsia="zh-CN"/>
        </w:rPr>
      </w:pPr>
      <w:ins w:id="14" w:author="Huawei" w:date="2025-05-07T15:18:00Z">
        <w:r w:rsidRPr="00A724F0">
          <w:rPr>
            <w:rFonts w:ascii="Arial" w:eastAsia="Times New Roman" w:hAnsi="Arial"/>
            <w:szCs w:val="20"/>
            <w:lang w:val="en-GB" w:eastAsia="zh-CN"/>
          </w:rPr>
          <w:t>16.15.4.2.</w:t>
        </w:r>
      </w:ins>
      <w:ins w:id="15" w:author="Huawei" w:date="2025-05-07T15:19:00Z">
        <w:r w:rsidR="00A07771">
          <w:rPr>
            <w:rFonts w:ascii="Arial" w:eastAsia="Times New Roman" w:hAnsi="Arial"/>
            <w:szCs w:val="20"/>
            <w:lang w:val="en-GB" w:eastAsia="zh-CN"/>
          </w:rPr>
          <w:t>x</w:t>
        </w:r>
      </w:ins>
      <w:ins w:id="16" w:author="Huawei" w:date="2025-05-07T15:18:00Z">
        <w:r w:rsidRPr="00A724F0">
          <w:rPr>
            <w:rFonts w:ascii="Arial" w:eastAsia="Times New Roman" w:hAnsi="Arial"/>
            <w:szCs w:val="20"/>
            <w:lang w:val="en-GB" w:eastAsia="zh-CN"/>
          </w:rPr>
          <w:tab/>
        </w:r>
        <w:r>
          <w:rPr>
            <w:rFonts w:ascii="Arial" w:eastAsia="Times New Roman" w:hAnsi="Arial"/>
            <w:szCs w:val="20"/>
            <w:lang w:val="en-GB" w:eastAsia="zh-CN"/>
          </w:rPr>
          <w:t>Uplink Rate Control</w:t>
        </w:r>
      </w:ins>
    </w:p>
    <w:p w14:paraId="2FD4DC79" w14:textId="6EEC2D14" w:rsidR="00A724F0" w:rsidRDefault="00060EDB" w:rsidP="00060EDB">
      <w:pPr>
        <w:overflowPunct w:val="0"/>
        <w:snapToGrid/>
        <w:spacing w:after="180"/>
        <w:jc w:val="left"/>
        <w:textAlignment w:val="baseline"/>
        <w:rPr>
          <w:ins w:id="17" w:author="Huawei" w:date="2025-05-07T15:36:00Z"/>
        </w:rPr>
      </w:pPr>
      <w:ins w:id="18" w:author="Huawei" w:date="2025-05-07T15:30:00Z">
        <w:r>
          <w:t>The</w:t>
        </w:r>
      </w:ins>
      <w:ins w:id="19" w:author="Huawei" w:date="2025-05-07T15:28:00Z">
        <w:r>
          <w:t xml:space="preserve"> </w:t>
        </w:r>
        <w:proofErr w:type="spellStart"/>
        <w:r>
          <w:t>gNB</w:t>
        </w:r>
      </w:ins>
      <w:proofErr w:type="spellEnd"/>
      <w:ins w:id="20" w:author="Huawei" w:date="2025-05-07T15:30:00Z">
        <w:r>
          <w:t xml:space="preserve"> can</w:t>
        </w:r>
      </w:ins>
      <w:ins w:id="21" w:author="Huawei" w:date="2025-05-07T15:28:00Z">
        <w:r>
          <w:t xml:space="preserve"> </w:t>
        </w:r>
      </w:ins>
      <w:ins w:id="22" w:author="Huawei" w:date="2025-05-09T09:09:00Z">
        <w:r w:rsidR="0069530F">
          <w:t>determine</w:t>
        </w:r>
      </w:ins>
      <w:ins w:id="23" w:author="Huawei" w:date="2025-05-07T15:28:00Z">
        <w:r>
          <w:t xml:space="preserve"> which</w:t>
        </w:r>
      </w:ins>
      <w:ins w:id="24" w:author="Huawei" w:date="2025-05-07T15:29:00Z">
        <w:r>
          <w:t xml:space="preserve"> </w:t>
        </w:r>
      </w:ins>
      <w:ins w:id="25" w:author="Huawei" w:date="2025-05-07T15:24:00Z">
        <w:r w:rsidR="00A07771">
          <w:t>QoS flow</w:t>
        </w:r>
      </w:ins>
      <w:ins w:id="26" w:author="Huawei" w:date="2025-05-07T15:29:00Z">
        <w:r>
          <w:t>s</w:t>
        </w:r>
      </w:ins>
      <w:ins w:id="27" w:author="Huawei" w:date="2025-05-07T15:24:00Z">
        <w:r w:rsidR="00A07771">
          <w:t xml:space="preserve"> </w:t>
        </w:r>
      </w:ins>
      <w:ins w:id="28" w:author="Huawei" w:date="2025-05-09T09:09:00Z">
        <w:r w:rsidR="0069530F">
          <w:t xml:space="preserve">support </w:t>
        </w:r>
      </w:ins>
      <w:ins w:id="29" w:author="Huawei" w:date="2025-05-07T15:24:00Z">
        <w:r w:rsidR="00A07771">
          <w:t>uplink rate control</w:t>
        </w:r>
      </w:ins>
      <w:ins w:id="30" w:author="Huawei" w:date="2025-05-07T15:30:00Z">
        <w:r>
          <w:t xml:space="preserve"> based on </w:t>
        </w:r>
      </w:ins>
      <w:ins w:id="31" w:author="Huawei" w:date="2025-05-07T15:41:00Z">
        <w:r w:rsidR="00A34A0D">
          <w:t>a</w:t>
        </w:r>
      </w:ins>
      <w:ins w:id="32" w:author="Huawei" w:date="2025-05-09T09:09:00Z">
        <w:r w:rsidR="0069530F">
          <w:t>n</w:t>
        </w:r>
      </w:ins>
      <w:ins w:id="33" w:author="Huawei" w:date="2025-05-07T15:41:00Z">
        <w:r w:rsidR="00A34A0D">
          <w:t xml:space="preserve"> indication</w:t>
        </w:r>
      </w:ins>
      <w:ins w:id="34" w:author="Huawei" w:date="2025-05-07T15:34:00Z">
        <w:r>
          <w:t xml:space="preserve"> provided by</w:t>
        </w:r>
      </w:ins>
      <w:ins w:id="35" w:author="Huawei" w:date="2025-05-07T15:23:00Z">
        <w:r w:rsidR="00A07771">
          <w:t xml:space="preserve"> SMF</w:t>
        </w:r>
      </w:ins>
      <w:ins w:id="36" w:author="Huawei" w:date="2025-05-07T15:38:00Z">
        <w:r w:rsidR="00A34A0D">
          <w:t xml:space="preserve">. </w:t>
        </w:r>
      </w:ins>
      <w:ins w:id="37" w:author="Huawei" w:date="2025-05-09T09:09:00Z">
        <w:r w:rsidR="0069530F">
          <w:t>The</w:t>
        </w:r>
      </w:ins>
      <w:ins w:id="38" w:author="Huawei" w:date="2025-05-07T15:39:00Z">
        <w:r w:rsidR="00A34A0D">
          <w:t xml:space="preserve"> in</w:t>
        </w:r>
      </w:ins>
      <w:ins w:id="39" w:author="Huawei" w:date="2025-05-07T15:41:00Z">
        <w:r w:rsidR="00A34A0D">
          <w:t>dic</w:t>
        </w:r>
      </w:ins>
      <w:ins w:id="40" w:author="Huawei" w:date="2025-05-07T15:42:00Z">
        <w:r w:rsidR="00A34A0D">
          <w:t>ation</w:t>
        </w:r>
      </w:ins>
      <w:ins w:id="41" w:author="Huawei" w:date="2025-05-07T15:38:00Z">
        <w:r w:rsidR="00A34A0D">
          <w:t xml:space="preserve"> is</w:t>
        </w:r>
      </w:ins>
      <w:ins w:id="42" w:author="Huawei" w:date="2025-05-09T09:09:00Z">
        <w:r w:rsidR="0069530F">
          <w:t xml:space="preserve"> included in</w:t>
        </w:r>
      </w:ins>
      <w:ins w:id="43" w:author="Huawei" w:date="2025-05-07T15:34:00Z">
        <w:r>
          <w:t xml:space="preserve"> the QoS profile of </w:t>
        </w:r>
      </w:ins>
      <w:ins w:id="44" w:author="Huawei" w:date="2025-05-09T09:10:00Z">
        <w:r w:rsidR="0069530F">
          <w:t>each</w:t>
        </w:r>
      </w:ins>
      <w:ins w:id="45" w:author="Huawei" w:date="2025-05-07T15:34:00Z">
        <w:r>
          <w:t xml:space="preserve"> </w:t>
        </w:r>
      </w:ins>
      <w:ins w:id="46" w:author="Huawei" w:date="2025-05-07T15:35:00Z">
        <w:r>
          <w:t xml:space="preserve">QoS flow. </w:t>
        </w:r>
      </w:ins>
    </w:p>
    <w:p w14:paraId="34510E17" w14:textId="7108A93D" w:rsidR="00060EDB" w:rsidRDefault="00060EDB" w:rsidP="00060EDB">
      <w:pPr>
        <w:overflowPunct w:val="0"/>
        <w:snapToGrid/>
        <w:spacing w:after="180"/>
        <w:jc w:val="left"/>
        <w:textAlignment w:val="baseline"/>
        <w:rPr>
          <w:lang w:eastAsia="zh-CN"/>
        </w:rPr>
      </w:pPr>
      <w:ins w:id="47" w:author="Huawei" w:date="2025-05-07T15:36:00Z">
        <w:r>
          <w:t xml:space="preserve">During the </w:t>
        </w:r>
        <w:proofErr w:type="spellStart"/>
        <w:r>
          <w:t>Xn</w:t>
        </w:r>
        <w:proofErr w:type="spellEnd"/>
        <w:r>
          <w:t xml:space="preserve">-based handover </w:t>
        </w:r>
      </w:ins>
      <w:ins w:id="48" w:author="Huawei" w:date="2025-05-07T15:41:00Z">
        <w:r w:rsidR="00A34A0D">
          <w:t xml:space="preserve">preparation </w:t>
        </w:r>
      </w:ins>
      <w:ins w:id="49" w:author="Huawei" w:date="2025-05-07T15:36:00Z">
        <w:r>
          <w:t xml:space="preserve">procedure, the </w:t>
        </w:r>
      </w:ins>
      <w:ins w:id="50" w:author="Huawei" w:date="2025-05-07T15:40:00Z">
        <w:r w:rsidR="00A34A0D">
          <w:t>source</w:t>
        </w:r>
      </w:ins>
      <w:ins w:id="51" w:author="Huawei" w:date="2025-05-07T15:36:00Z">
        <w:r>
          <w:t xml:space="preserve"> </w:t>
        </w:r>
        <w:proofErr w:type="spellStart"/>
        <w:r>
          <w:t>g</w:t>
        </w:r>
      </w:ins>
      <w:ins w:id="52" w:author="Huawei" w:date="2025-05-07T15:37:00Z">
        <w:r>
          <w:t>NB</w:t>
        </w:r>
      </w:ins>
      <w:proofErr w:type="spellEnd"/>
      <w:ins w:id="53" w:author="Huawei" w:date="2025-05-07T15:40:00Z">
        <w:r w:rsidR="00A34A0D">
          <w:t xml:space="preserve"> will forward the in</w:t>
        </w:r>
      </w:ins>
      <w:ins w:id="54" w:author="Huawei" w:date="2025-05-07T15:42:00Z">
        <w:r w:rsidR="00A34A0D">
          <w:t xml:space="preserve">dication for </w:t>
        </w:r>
        <w:r w:rsidR="00A34A0D">
          <w:rPr>
            <w:rFonts w:hint="eastAsia"/>
            <w:lang w:eastAsia="zh-CN"/>
          </w:rPr>
          <w:t>each</w:t>
        </w:r>
        <w:r w:rsidR="00A34A0D">
          <w:t xml:space="preserve"> </w:t>
        </w:r>
        <w:r w:rsidR="00A34A0D">
          <w:rPr>
            <w:rFonts w:hint="eastAsia"/>
            <w:lang w:eastAsia="zh-CN"/>
          </w:rPr>
          <w:t>QoS</w:t>
        </w:r>
        <w:r w:rsidR="00A34A0D">
          <w:t xml:space="preserve"> </w:t>
        </w:r>
        <w:r w:rsidR="00A34A0D">
          <w:rPr>
            <w:rFonts w:hint="eastAsia"/>
            <w:lang w:eastAsia="zh-CN"/>
          </w:rPr>
          <w:t>flow</w:t>
        </w:r>
        <w:r w:rsidR="00A34A0D">
          <w:t xml:space="preserve"> whi</w:t>
        </w:r>
      </w:ins>
      <w:ins w:id="55" w:author="Huawei" w:date="2025-05-07T15:43:00Z">
        <w:r w:rsidR="00A34A0D">
          <w:t xml:space="preserve">ch </w:t>
        </w:r>
      </w:ins>
      <w:ins w:id="56" w:author="Huawei" w:date="2025-05-07T15:42:00Z">
        <w:r w:rsidR="00A34A0D">
          <w:rPr>
            <w:rFonts w:hint="eastAsia"/>
            <w:lang w:eastAsia="zh-CN"/>
          </w:rPr>
          <w:t>allows</w:t>
        </w:r>
        <w:r w:rsidR="00A34A0D">
          <w:t xml:space="preserve"> </w:t>
        </w:r>
        <w:r w:rsidR="00A34A0D">
          <w:rPr>
            <w:rFonts w:hint="eastAsia"/>
            <w:lang w:eastAsia="zh-CN"/>
          </w:rPr>
          <w:t>u</w:t>
        </w:r>
        <w:r w:rsidR="00A34A0D">
          <w:rPr>
            <w:lang w:eastAsia="zh-CN"/>
          </w:rPr>
          <w:t>plink rate control</w:t>
        </w:r>
      </w:ins>
      <w:ins w:id="57" w:author="Huawei" w:date="2025-05-07T15:40:00Z">
        <w:r w:rsidR="00A34A0D">
          <w:t xml:space="preserve"> to the target </w:t>
        </w:r>
        <w:proofErr w:type="spellStart"/>
        <w:r w:rsidR="00A34A0D">
          <w:t>gNB</w:t>
        </w:r>
      </w:ins>
      <w:proofErr w:type="spellEnd"/>
      <w:ins w:id="58" w:author="Huawei" w:date="2025-05-07T15:41:00Z">
        <w:r w:rsidR="00A34A0D">
          <w:rPr>
            <w:rFonts w:hint="eastAsia"/>
            <w:lang w:eastAsia="zh-CN"/>
          </w:rPr>
          <w:t>.</w:t>
        </w:r>
      </w:ins>
    </w:p>
    <w:p w14:paraId="7471C4BD" w14:textId="77777777" w:rsidR="000F32FE" w:rsidRPr="00F6760E" w:rsidRDefault="000F32FE" w:rsidP="000F32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CHANGES END</w:t>
      </w:r>
    </w:p>
    <w:p w14:paraId="745177E7" w14:textId="77777777" w:rsidR="000F32FE" w:rsidRPr="00060EDB" w:rsidRDefault="000F32FE" w:rsidP="00060EDB">
      <w:pPr>
        <w:overflowPunct w:val="0"/>
        <w:snapToGrid/>
        <w:spacing w:after="180"/>
        <w:jc w:val="left"/>
        <w:textAlignment w:val="baseline"/>
      </w:pPr>
    </w:p>
    <w:sectPr w:rsidR="000F32FE" w:rsidRPr="00060EDB"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8DFC5" w14:textId="77777777" w:rsidR="000E31E0" w:rsidRDefault="000E31E0">
      <w:r>
        <w:separator/>
      </w:r>
    </w:p>
  </w:endnote>
  <w:endnote w:type="continuationSeparator" w:id="0">
    <w:p w14:paraId="5B2D09BB" w14:textId="77777777" w:rsidR="000E31E0" w:rsidRDefault="000E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CFBB5" w14:textId="77777777" w:rsidR="000E31E0" w:rsidRDefault="000E31E0">
      <w:r>
        <w:separator/>
      </w:r>
    </w:p>
  </w:footnote>
  <w:footnote w:type="continuationSeparator" w:id="0">
    <w:p w14:paraId="6EC423EF" w14:textId="77777777" w:rsidR="000E31E0" w:rsidRDefault="000E3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13821029"/>
    <w:multiLevelType w:val="hybridMultilevel"/>
    <w:tmpl w:val="3BDCBB80"/>
    <w:lvl w:ilvl="0" w:tplc="95E2663A">
      <w:start w:val="1"/>
      <w:numFmt w:val="bullet"/>
      <w:lvlText w:val="•"/>
      <w:lvlJc w:val="left"/>
      <w:pPr>
        <w:tabs>
          <w:tab w:val="num" w:pos="720"/>
        </w:tabs>
        <w:ind w:left="720" w:hanging="360"/>
      </w:pPr>
      <w:rPr>
        <w:rFonts w:ascii="Arial" w:hAnsi="Arial" w:hint="default"/>
      </w:rPr>
    </w:lvl>
    <w:lvl w:ilvl="1" w:tplc="3B6C10B4" w:tentative="1">
      <w:start w:val="1"/>
      <w:numFmt w:val="bullet"/>
      <w:lvlText w:val="•"/>
      <w:lvlJc w:val="left"/>
      <w:pPr>
        <w:tabs>
          <w:tab w:val="num" w:pos="1440"/>
        </w:tabs>
        <w:ind w:left="1440" w:hanging="360"/>
      </w:pPr>
      <w:rPr>
        <w:rFonts w:ascii="Arial" w:hAnsi="Arial" w:hint="default"/>
      </w:rPr>
    </w:lvl>
    <w:lvl w:ilvl="2" w:tplc="2DE64DDA" w:tentative="1">
      <w:start w:val="1"/>
      <w:numFmt w:val="bullet"/>
      <w:lvlText w:val="•"/>
      <w:lvlJc w:val="left"/>
      <w:pPr>
        <w:tabs>
          <w:tab w:val="num" w:pos="2160"/>
        </w:tabs>
        <w:ind w:left="2160" w:hanging="360"/>
      </w:pPr>
      <w:rPr>
        <w:rFonts w:ascii="Arial" w:hAnsi="Arial" w:hint="default"/>
      </w:rPr>
    </w:lvl>
    <w:lvl w:ilvl="3" w:tplc="1B6ECFDE" w:tentative="1">
      <w:start w:val="1"/>
      <w:numFmt w:val="bullet"/>
      <w:lvlText w:val="•"/>
      <w:lvlJc w:val="left"/>
      <w:pPr>
        <w:tabs>
          <w:tab w:val="num" w:pos="2880"/>
        </w:tabs>
        <w:ind w:left="2880" w:hanging="360"/>
      </w:pPr>
      <w:rPr>
        <w:rFonts w:ascii="Arial" w:hAnsi="Arial" w:hint="default"/>
      </w:rPr>
    </w:lvl>
    <w:lvl w:ilvl="4" w:tplc="0B1E0276" w:tentative="1">
      <w:start w:val="1"/>
      <w:numFmt w:val="bullet"/>
      <w:lvlText w:val="•"/>
      <w:lvlJc w:val="left"/>
      <w:pPr>
        <w:tabs>
          <w:tab w:val="num" w:pos="3600"/>
        </w:tabs>
        <w:ind w:left="3600" w:hanging="360"/>
      </w:pPr>
      <w:rPr>
        <w:rFonts w:ascii="Arial" w:hAnsi="Arial" w:hint="default"/>
      </w:rPr>
    </w:lvl>
    <w:lvl w:ilvl="5" w:tplc="B0705C04" w:tentative="1">
      <w:start w:val="1"/>
      <w:numFmt w:val="bullet"/>
      <w:lvlText w:val="•"/>
      <w:lvlJc w:val="left"/>
      <w:pPr>
        <w:tabs>
          <w:tab w:val="num" w:pos="4320"/>
        </w:tabs>
        <w:ind w:left="4320" w:hanging="360"/>
      </w:pPr>
      <w:rPr>
        <w:rFonts w:ascii="Arial" w:hAnsi="Arial" w:hint="default"/>
      </w:rPr>
    </w:lvl>
    <w:lvl w:ilvl="6" w:tplc="A198E1A0" w:tentative="1">
      <w:start w:val="1"/>
      <w:numFmt w:val="bullet"/>
      <w:lvlText w:val="•"/>
      <w:lvlJc w:val="left"/>
      <w:pPr>
        <w:tabs>
          <w:tab w:val="num" w:pos="5040"/>
        </w:tabs>
        <w:ind w:left="5040" w:hanging="360"/>
      </w:pPr>
      <w:rPr>
        <w:rFonts w:ascii="Arial" w:hAnsi="Arial" w:hint="default"/>
      </w:rPr>
    </w:lvl>
    <w:lvl w:ilvl="7" w:tplc="4872BE4A" w:tentative="1">
      <w:start w:val="1"/>
      <w:numFmt w:val="bullet"/>
      <w:lvlText w:val="•"/>
      <w:lvlJc w:val="left"/>
      <w:pPr>
        <w:tabs>
          <w:tab w:val="num" w:pos="5760"/>
        </w:tabs>
        <w:ind w:left="5760" w:hanging="360"/>
      </w:pPr>
      <w:rPr>
        <w:rFonts w:ascii="Arial" w:hAnsi="Arial" w:hint="default"/>
      </w:rPr>
    </w:lvl>
    <w:lvl w:ilvl="8" w:tplc="A62C7B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0"/>
  </w:num>
  <w:num w:numId="3">
    <w:abstractNumId w:val="12"/>
  </w:num>
  <w:num w:numId="4">
    <w:abstractNumId w:val="15"/>
  </w:num>
  <w:num w:numId="5">
    <w:abstractNumId w:val="3"/>
  </w:num>
  <w:num w:numId="6">
    <w:abstractNumId w:val="14"/>
  </w:num>
  <w:num w:numId="7">
    <w:abstractNumId w:val="8"/>
  </w:num>
  <w:num w:numId="8">
    <w:abstractNumId w:val="9"/>
  </w:num>
  <w:num w:numId="9">
    <w:abstractNumId w:val="2"/>
  </w:num>
  <w:num w:numId="10">
    <w:abstractNumId w:val="1"/>
  </w:num>
  <w:num w:numId="11">
    <w:abstractNumId w:val="4"/>
  </w:num>
  <w:num w:numId="12">
    <w:abstractNumId w:val="17"/>
  </w:num>
  <w:num w:numId="13">
    <w:abstractNumId w:val="18"/>
  </w:num>
  <w:num w:numId="14">
    <w:abstractNumId w:val="6"/>
  </w:num>
  <w:num w:numId="15">
    <w:abstractNumId w:val="1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16"/>
  </w:num>
  <w:num w:numId="1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1E0"/>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2FE"/>
    <w:rsid w:val="000F3697"/>
    <w:rsid w:val="000F369E"/>
    <w:rsid w:val="000F4068"/>
    <w:rsid w:val="000F44D5"/>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870"/>
    <w:rsid w:val="00153967"/>
    <w:rsid w:val="00153EEC"/>
    <w:rsid w:val="0015415D"/>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9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9C1"/>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76"/>
    <w:rsid w:val="002649A0"/>
    <w:rsid w:val="00264B82"/>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E85"/>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A60"/>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6532"/>
    <w:rsid w:val="004665A7"/>
    <w:rsid w:val="004668B4"/>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6E7A"/>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3716"/>
    <w:rsid w:val="005B3BF6"/>
    <w:rsid w:val="005B3D4A"/>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B1C"/>
    <w:rsid w:val="00693E1F"/>
    <w:rsid w:val="00693ECB"/>
    <w:rsid w:val="00694312"/>
    <w:rsid w:val="00694797"/>
    <w:rsid w:val="0069530F"/>
    <w:rsid w:val="00695887"/>
    <w:rsid w:val="00695B57"/>
    <w:rsid w:val="00696589"/>
    <w:rsid w:val="006967DD"/>
    <w:rsid w:val="00696BB4"/>
    <w:rsid w:val="00697640"/>
    <w:rsid w:val="00697733"/>
    <w:rsid w:val="00697E8F"/>
    <w:rsid w:val="00697ED8"/>
    <w:rsid w:val="006A09BB"/>
    <w:rsid w:val="006A18C1"/>
    <w:rsid w:val="006A1FA7"/>
    <w:rsid w:val="006A254E"/>
    <w:rsid w:val="006A27CC"/>
    <w:rsid w:val="006A29D6"/>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0A58"/>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B80"/>
    <w:rsid w:val="00734EBE"/>
    <w:rsid w:val="007351F1"/>
    <w:rsid w:val="007354D6"/>
    <w:rsid w:val="00735C4E"/>
    <w:rsid w:val="0073645D"/>
    <w:rsid w:val="00736DD8"/>
    <w:rsid w:val="00737342"/>
    <w:rsid w:val="007377E1"/>
    <w:rsid w:val="007377E2"/>
    <w:rsid w:val="00737F05"/>
    <w:rsid w:val="0074076A"/>
    <w:rsid w:val="0074193B"/>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453"/>
    <w:rsid w:val="009D451C"/>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E5E"/>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4799E"/>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DEC"/>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B40"/>
    <w:rsid w:val="00B25FDE"/>
    <w:rsid w:val="00B26AB0"/>
    <w:rsid w:val="00B26AD2"/>
    <w:rsid w:val="00B26CA2"/>
    <w:rsid w:val="00B2745C"/>
    <w:rsid w:val="00B27C13"/>
    <w:rsid w:val="00B300DC"/>
    <w:rsid w:val="00B30B4E"/>
    <w:rsid w:val="00B30E48"/>
    <w:rsid w:val="00B31246"/>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567"/>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2241"/>
    <w:rsid w:val="00CA29F4"/>
    <w:rsid w:val="00CA3CDD"/>
    <w:rsid w:val="00CA403B"/>
    <w:rsid w:val="00CA420A"/>
    <w:rsid w:val="00CA423B"/>
    <w:rsid w:val="00CA424D"/>
    <w:rsid w:val="00CA43F7"/>
    <w:rsid w:val="00CA505A"/>
    <w:rsid w:val="00CA5680"/>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21C"/>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B74F9"/>
    <w:rsid w:val="00FC011B"/>
    <w:rsid w:val="00FC0150"/>
    <w:rsid w:val="00FC03AB"/>
    <w:rsid w:val="00FC0B50"/>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0C"/>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semiHidden/>
    <w:unhideWhenUsed/>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4486530">
      <w:bodyDiv w:val="1"/>
      <w:marLeft w:val="0"/>
      <w:marRight w:val="0"/>
      <w:marTop w:val="0"/>
      <w:marBottom w:val="0"/>
      <w:divBdr>
        <w:top w:val="none" w:sz="0" w:space="0" w:color="auto"/>
        <w:left w:val="none" w:sz="0" w:space="0" w:color="auto"/>
        <w:bottom w:val="none" w:sz="0" w:space="0" w:color="auto"/>
        <w:right w:val="none" w:sz="0" w:space="0" w:color="auto"/>
      </w:divBdr>
      <w:divsChild>
        <w:div w:id="1396318372">
          <w:marLeft w:val="446"/>
          <w:marRight w:val="0"/>
          <w:marTop w:val="0"/>
          <w:marBottom w:val="0"/>
          <w:divBdr>
            <w:top w:val="none" w:sz="0" w:space="0" w:color="auto"/>
            <w:left w:val="none" w:sz="0" w:space="0" w:color="auto"/>
            <w:bottom w:val="none" w:sz="0" w:space="0" w:color="auto"/>
            <w:right w:val="none" w:sz="0" w:space="0" w:color="auto"/>
          </w:divBdr>
        </w:div>
        <w:div w:id="922373584">
          <w:marLeft w:val="446"/>
          <w:marRight w:val="0"/>
          <w:marTop w:val="0"/>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8AE44-E0C7-412A-B707-E215BD96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8</cp:revision>
  <cp:lastPrinted>2007-06-19T12:08:00Z</cp:lastPrinted>
  <dcterms:created xsi:type="dcterms:W3CDTF">2025-05-07T07:45:00Z</dcterms:created>
  <dcterms:modified xsi:type="dcterms:W3CDTF">2025-05-09T03:47:00Z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